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8DC" w:rsidRDefault="00B338DC" w:rsidP="00B338DC">
      <w:pPr>
        <w:pStyle w:val="2"/>
        <w:spacing w:before="0" w:after="0" w:line="240" w:lineRule="auto"/>
        <w:jc w:val="center"/>
        <w:rPr>
          <w:rFonts w:ascii="宋体" w:eastAsia="宋体" w:hAnsi="宋体" w:cs="Arial" w:hint="eastAsia"/>
          <w:color w:val="000000"/>
          <w:kern w:val="44"/>
          <w:sz w:val="36"/>
          <w:szCs w:val="36"/>
        </w:rPr>
      </w:pPr>
      <w:bookmarkStart w:id="0" w:name="_Toc477821570"/>
      <w:bookmarkStart w:id="1" w:name="_GoBack"/>
      <w:r>
        <w:rPr>
          <w:rFonts w:ascii="宋体" w:eastAsia="宋体" w:hAnsi="宋体" w:cs="Arial" w:hint="eastAsia"/>
          <w:color w:val="000000"/>
          <w:kern w:val="44"/>
          <w:sz w:val="36"/>
          <w:szCs w:val="36"/>
        </w:rPr>
        <w:t>4.1 生产设施安全拆除和报废管理制度</w:t>
      </w:r>
      <w:bookmarkEnd w:id="0"/>
    </w:p>
    <w:bookmarkEnd w:id="1"/>
    <w:p w:rsidR="00B338DC" w:rsidRDefault="00B338DC" w:rsidP="00B338DC">
      <w:pPr>
        <w:pStyle w:val="a3"/>
        <w:spacing w:before="0" w:beforeAutospacing="0" w:after="0" w:afterAutospacing="0" w:line="360" w:lineRule="auto"/>
        <w:jc w:val="both"/>
        <w:rPr>
          <w:rFonts w:cs="Times New Roman" w:hint="eastAsia"/>
          <w:b/>
          <w:kern w:val="2"/>
        </w:rPr>
      </w:pPr>
    </w:p>
    <w:p w:rsidR="00B338DC" w:rsidRDefault="00B338DC" w:rsidP="00B338DC">
      <w:pPr>
        <w:pStyle w:val="a3"/>
        <w:spacing w:before="0" w:beforeAutospacing="0" w:after="0" w:afterAutospacing="0" w:line="360" w:lineRule="auto"/>
        <w:jc w:val="both"/>
        <w:rPr>
          <w:rFonts w:cs="Times New Roman" w:hint="eastAsia"/>
          <w:b/>
          <w:kern w:val="2"/>
        </w:rPr>
      </w:pPr>
      <w:r>
        <w:rPr>
          <w:rFonts w:cs="Times New Roman" w:hint="eastAsia"/>
          <w:b/>
          <w:kern w:val="2"/>
        </w:rPr>
        <w:t>一、目的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为确保生产设施拆除安全，规范生产设施的报废管理，制定本制度。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jc w:val="both"/>
        <w:rPr>
          <w:rFonts w:cs="Times New Roman" w:hint="eastAsia"/>
          <w:b/>
          <w:kern w:val="2"/>
        </w:rPr>
      </w:pPr>
      <w:r>
        <w:rPr>
          <w:rFonts w:cs="Times New Roman" w:hint="eastAsia"/>
          <w:b/>
          <w:kern w:val="2"/>
        </w:rPr>
        <w:t>二、适用范围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本制度适用于本公司区域内生产设施拆除和报废的安全健康管理。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jc w:val="both"/>
        <w:rPr>
          <w:rFonts w:cs="Times New Roman" w:hint="eastAsia"/>
          <w:b/>
          <w:kern w:val="2"/>
        </w:rPr>
      </w:pPr>
      <w:r>
        <w:rPr>
          <w:rFonts w:cs="Times New Roman" w:hint="eastAsia"/>
          <w:b/>
          <w:kern w:val="2"/>
        </w:rPr>
        <w:t>三、职责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（一</w:t>
      </w:r>
      <w:r>
        <w:rPr>
          <w:rFonts w:cs="Times New Roman" w:hint="eastAsia"/>
          <w:color w:val="FF0000"/>
          <w:kern w:val="2"/>
        </w:rPr>
        <w:t>）设备部</w:t>
      </w:r>
      <w:r>
        <w:rPr>
          <w:rFonts w:cs="Times New Roman" w:hint="eastAsia"/>
          <w:kern w:val="2"/>
        </w:rPr>
        <w:t>是拆除和报废生产设施的主管责任部门。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（二）</w:t>
      </w:r>
      <w:r>
        <w:rPr>
          <w:rFonts w:cs="Times New Roman" w:hint="eastAsia"/>
          <w:color w:val="FF0000"/>
          <w:kern w:val="2"/>
        </w:rPr>
        <w:t>设备部</w:t>
      </w:r>
      <w:r>
        <w:rPr>
          <w:rFonts w:cs="Times New Roman" w:hint="eastAsia"/>
          <w:kern w:val="2"/>
        </w:rPr>
        <w:t>负责拆除和报废生产设施的具体实施工作。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（三）</w:t>
      </w:r>
      <w:r>
        <w:rPr>
          <w:rFonts w:cs="Times New Roman" w:hint="eastAsia"/>
          <w:color w:val="FF0000"/>
          <w:kern w:val="2"/>
        </w:rPr>
        <w:t>综合部</w:t>
      </w:r>
      <w:r>
        <w:rPr>
          <w:rFonts w:cs="Times New Roman" w:hint="eastAsia"/>
          <w:kern w:val="2"/>
        </w:rPr>
        <w:t>对生产设施的拆除和报废负有监督管理责任。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jc w:val="both"/>
        <w:rPr>
          <w:rFonts w:cs="Times New Roman" w:hint="eastAsia"/>
          <w:b/>
          <w:kern w:val="2"/>
        </w:rPr>
      </w:pPr>
      <w:r>
        <w:rPr>
          <w:rFonts w:cs="Times New Roman" w:hint="eastAsia"/>
          <w:b/>
          <w:kern w:val="2"/>
        </w:rPr>
        <w:t>四、拆除管理程序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（一）控制程序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严禁私自拆除和报废生产设施，生产设施符合下述一项或多项，方可进行拆除和报废：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1、能源消耗高，按国家规定应淘汰的设备、设施；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2、由于技术进步，先进设备替换落后的设备、设施；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3、定期检验不合格的特种设备、压力管道；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4、由于生产工艺改进不能满足生产要求的设备、管道；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5、严重腐蚀，存在安全隐患的设备、管道；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6、由于生产规模的扩大，不能满足生产能力的设备、管道。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（二）申报审批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生产设施报废由使用单位根据生产设施拆除和报废条件，编制生产设施拆除和报废计划，</w:t>
      </w:r>
      <w:proofErr w:type="gramStart"/>
      <w:r>
        <w:rPr>
          <w:rFonts w:cs="Times New Roman" w:hint="eastAsia"/>
          <w:kern w:val="2"/>
        </w:rPr>
        <w:t>报设备</w:t>
      </w:r>
      <w:proofErr w:type="gramEnd"/>
      <w:r>
        <w:rPr>
          <w:rFonts w:cs="Times New Roman" w:hint="eastAsia"/>
          <w:kern w:val="2"/>
        </w:rPr>
        <w:t>部汇总，并提交董事长审核、批准。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（三）拆除准备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1、在对生产设施进行拆除前，车间应组织有关人员，采用适用的风险分析方法，对拆除作业活动进行风险分析，评价拆除过程的风险，编制生产设施拆除和报废方案，方案包括风险分析、风险控制措施等。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lastRenderedPageBreak/>
        <w:t>2、拆除生产设施应确保拆除安全，拆除前应进行必要的隔离、置换、中和、断电等措施后，按照生产设施拆除方案进行作业，请承包商进行拆除时，应</w:t>
      </w:r>
      <w:proofErr w:type="gramStart"/>
      <w:r>
        <w:rPr>
          <w:rFonts w:cs="Times New Roman" w:hint="eastAsia"/>
          <w:kern w:val="2"/>
        </w:rPr>
        <w:t>签定</w:t>
      </w:r>
      <w:proofErr w:type="gramEnd"/>
      <w:r>
        <w:rPr>
          <w:rFonts w:cs="Times New Roman" w:hint="eastAsia"/>
          <w:kern w:val="2"/>
        </w:rPr>
        <w:t>生产设施拆除合同，对承包商的管理应符合公司要求。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3、凡拆除的容器、设备和管道内接触过易燃易爆、有毒有害、腐蚀性等介质的危险化学品，由业主单位负责清洗、置换经检测合格后，方可拆除和报废。废弃的危险化学品和清洗产生的废水应按照有关规定进行收集处理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4、</w:t>
      </w:r>
      <w:r>
        <w:rPr>
          <w:rFonts w:cs="Times New Roman"/>
          <w:kern w:val="2"/>
        </w:rPr>
        <w:t>在施工前</w:t>
      </w:r>
      <w:r>
        <w:rPr>
          <w:rFonts w:cs="Times New Roman" w:hint="eastAsia"/>
          <w:kern w:val="2"/>
        </w:rPr>
        <w:t>，</w:t>
      </w:r>
      <w:r>
        <w:rPr>
          <w:rFonts w:cs="Times New Roman"/>
          <w:kern w:val="2"/>
        </w:rPr>
        <w:t>工程负责人</w:t>
      </w:r>
      <w:r>
        <w:rPr>
          <w:rFonts w:cs="Times New Roman" w:hint="eastAsia"/>
          <w:kern w:val="2"/>
        </w:rPr>
        <w:t>按照拆除方案及风险控制措施</w:t>
      </w:r>
      <w:r>
        <w:rPr>
          <w:rFonts w:cs="Times New Roman"/>
          <w:kern w:val="2"/>
        </w:rPr>
        <w:t>向参加施工</w:t>
      </w:r>
      <w:r>
        <w:rPr>
          <w:rFonts w:cs="Times New Roman" w:hint="eastAsia"/>
          <w:kern w:val="2"/>
        </w:rPr>
        <w:t>的</w:t>
      </w:r>
      <w:r>
        <w:rPr>
          <w:rFonts w:cs="Times New Roman"/>
          <w:kern w:val="2"/>
        </w:rPr>
        <w:t>人员详细交底，进行施工前的安全教育，并</w:t>
      </w:r>
      <w:r>
        <w:rPr>
          <w:rFonts w:cs="Times New Roman" w:hint="eastAsia"/>
          <w:kern w:val="2"/>
        </w:rPr>
        <w:t>检查</w:t>
      </w:r>
      <w:r>
        <w:rPr>
          <w:rFonts w:cs="Times New Roman"/>
          <w:kern w:val="2"/>
        </w:rPr>
        <w:t>落实施工方案中的安全措施。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5、</w:t>
      </w:r>
      <w:proofErr w:type="gramStart"/>
      <w:r>
        <w:rPr>
          <w:rFonts w:cs="Times New Roman"/>
          <w:kern w:val="2"/>
        </w:rPr>
        <w:t>拆除区</w:t>
      </w:r>
      <w:proofErr w:type="gramEnd"/>
      <w:r>
        <w:rPr>
          <w:rFonts w:cs="Times New Roman"/>
          <w:kern w:val="2"/>
        </w:rPr>
        <w:t>周围应设</w:t>
      </w:r>
      <w:r>
        <w:rPr>
          <w:rFonts w:cs="Times New Roman" w:hint="eastAsia"/>
          <w:kern w:val="2"/>
        </w:rPr>
        <w:t>警戒线（</w:t>
      </w:r>
      <w:r>
        <w:rPr>
          <w:rFonts w:cs="Times New Roman"/>
          <w:kern w:val="2"/>
        </w:rPr>
        <w:t>围栏</w:t>
      </w:r>
      <w:r>
        <w:rPr>
          <w:rFonts w:cs="Times New Roman" w:hint="eastAsia"/>
          <w:kern w:val="2"/>
        </w:rPr>
        <w:t>）、警示</w:t>
      </w:r>
      <w:r>
        <w:rPr>
          <w:rFonts w:cs="Times New Roman"/>
          <w:kern w:val="2"/>
        </w:rPr>
        <w:t>牌，并设专人监护，严禁无关人员</w:t>
      </w:r>
      <w:r>
        <w:rPr>
          <w:rFonts w:cs="Times New Roman" w:hint="eastAsia"/>
          <w:kern w:val="2"/>
        </w:rPr>
        <w:t>出入施工现场</w:t>
      </w:r>
      <w:r>
        <w:rPr>
          <w:rFonts w:cs="Times New Roman"/>
          <w:kern w:val="2"/>
        </w:rPr>
        <w:t>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（四）拆除过程中的管理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1、拆除工程的施工必须在工程负责人统一指挥和监督下进行。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2、</w:t>
      </w:r>
      <w:r>
        <w:rPr>
          <w:rFonts w:cs="Times New Roman"/>
          <w:kern w:val="2"/>
        </w:rPr>
        <w:t>施工人员从事拆除工作时，应站在</w:t>
      </w:r>
      <w:r>
        <w:rPr>
          <w:rFonts w:cs="Times New Roman" w:hint="eastAsia"/>
          <w:kern w:val="2"/>
        </w:rPr>
        <w:t>搭设规范</w:t>
      </w:r>
      <w:r>
        <w:rPr>
          <w:rFonts w:cs="Times New Roman"/>
          <w:kern w:val="2"/>
        </w:rPr>
        <w:t>的脚手架上或其它稳固的结构部位上操作。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3、</w:t>
      </w:r>
      <w:r>
        <w:rPr>
          <w:rFonts w:cs="Times New Roman"/>
          <w:kern w:val="2"/>
        </w:rPr>
        <w:t>拆除工程，对危险部位应先消除危险后再拆除。拆除时按自上而下、先外后内的顺序进行，禁止数层同时拆除，不准</w:t>
      </w:r>
      <w:proofErr w:type="gramStart"/>
      <w:r>
        <w:rPr>
          <w:rFonts w:cs="Times New Roman"/>
          <w:kern w:val="2"/>
        </w:rPr>
        <w:t>用挖切或</w:t>
      </w:r>
      <w:proofErr w:type="gramEnd"/>
      <w:r>
        <w:rPr>
          <w:rFonts w:cs="Times New Roman"/>
          <w:kern w:val="2"/>
        </w:rPr>
        <w:t>推倒的方法拆除。未拆除的部位应保持稳固。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4、</w:t>
      </w:r>
      <w:r>
        <w:rPr>
          <w:rFonts w:cs="Times New Roman"/>
          <w:kern w:val="2"/>
        </w:rPr>
        <w:t>拆除的物体不准由上向下抛掷</w:t>
      </w:r>
      <w:r>
        <w:rPr>
          <w:rFonts w:cs="Times New Roman" w:hint="eastAsia"/>
          <w:kern w:val="2"/>
        </w:rPr>
        <w:t>，</w:t>
      </w:r>
      <w:r>
        <w:rPr>
          <w:rFonts w:cs="Times New Roman"/>
          <w:kern w:val="2"/>
        </w:rPr>
        <w:t>要采用吊运或顺槽溜放的方法。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5、</w:t>
      </w:r>
      <w:r>
        <w:rPr>
          <w:rFonts w:cs="Times New Roman"/>
          <w:kern w:val="2"/>
        </w:rPr>
        <w:t>在拆除石棉瓦及轻型结构屋面工程时，必须佩戴安全带，铺设跳板。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6、</w:t>
      </w:r>
      <w:r>
        <w:rPr>
          <w:rFonts w:cs="Times New Roman"/>
          <w:kern w:val="2"/>
        </w:rPr>
        <w:t>拆除过程中，现场照明不得使用被拆除建筑物中的配电线路，应设置另外的配电线路。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7、拆除过程中需要实施爆破作业的，应当遵守国家有关民用爆炸物品管理的规定。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8、拆除工程中的各种材料及废弃物堆放、清除，必须符合安全、环保要求。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9、</w:t>
      </w:r>
      <w:r>
        <w:rPr>
          <w:rFonts w:cs="Times New Roman"/>
          <w:kern w:val="2"/>
        </w:rPr>
        <w:t>拆除建筑物的栏杆、楼梯和楼板等，应该和整体程度相配合，不能先行拆除。建筑物的承重支柱和横梁要等待它所承担的全部结构和荷载拆掉后，</w:t>
      </w:r>
      <w:r>
        <w:rPr>
          <w:rFonts w:cs="Times New Roman" w:hint="eastAsia"/>
          <w:kern w:val="2"/>
        </w:rPr>
        <w:t>方</w:t>
      </w:r>
      <w:r>
        <w:rPr>
          <w:rFonts w:cs="Times New Roman"/>
          <w:kern w:val="2"/>
        </w:rPr>
        <w:t>可拆除。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 w:hint="eastAsia"/>
          <w:kern w:val="2"/>
        </w:rPr>
        <w:t>10、</w:t>
      </w:r>
      <w:r>
        <w:rPr>
          <w:rFonts w:cs="Times New Roman"/>
          <w:kern w:val="2"/>
        </w:rPr>
        <w:t>拆除建筑物时，楼板上不许有人集聚和堆放材料，以免楼</w:t>
      </w:r>
      <w:r>
        <w:rPr>
          <w:rFonts w:cs="Times New Roman" w:hint="eastAsia"/>
          <w:kern w:val="2"/>
        </w:rPr>
        <w:t>板</w:t>
      </w:r>
      <w:r>
        <w:rPr>
          <w:rFonts w:cs="Times New Roman"/>
          <w:kern w:val="2"/>
        </w:rPr>
        <w:t>结构超载发生倒塌。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lastRenderedPageBreak/>
        <w:t>（五）报废资料保存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  <w:r>
        <w:rPr>
          <w:rFonts w:cs="Times New Roman" w:hint="eastAsia"/>
          <w:kern w:val="2"/>
        </w:rPr>
        <w:t>生产设施的拆除和报废必须有账可查，并且相关材料要存档。</w:t>
      </w: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/>
          <w:kern w:val="2"/>
        </w:rPr>
      </w:pPr>
    </w:p>
    <w:p w:rsidR="00B338DC" w:rsidRDefault="00B338DC" w:rsidP="00B338DC">
      <w:pPr>
        <w:pStyle w:val="a3"/>
        <w:spacing w:before="0" w:beforeAutospacing="0" w:after="0" w:afterAutospacing="0" w:line="360" w:lineRule="auto"/>
        <w:ind w:firstLineChars="200" w:firstLine="480"/>
        <w:jc w:val="both"/>
        <w:rPr>
          <w:rFonts w:cs="Times New Roman" w:hint="eastAsia"/>
          <w:kern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5"/>
        <w:gridCol w:w="4527"/>
      </w:tblGrid>
      <w:tr w:rsidR="00B338DC" w:rsidTr="00A41342">
        <w:trPr>
          <w:trHeight w:val="851"/>
          <w:jc w:val="center"/>
        </w:trPr>
        <w:tc>
          <w:tcPr>
            <w:tcW w:w="4545" w:type="dxa"/>
            <w:vAlign w:val="center"/>
          </w:tcPr>
          <w:p w:rsidR="00B338DC" w:rsidRDefault="00B338DC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编制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  <w:tc>
          <w:tcPr>
            <w:tcW w:w="4527" w:type="dxa"/>
            <w:vAlign w:val="center"/>
          </w:tcPr>
          <w:p w:rsidR="00B338DC" w:rsidRDefault="00B338DC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审核批准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</w:tr>
    </w:tbl>
    <w:p w:rsidR="008F1029" w:rsidRPr="00B338DC" w:rsidRDefault="008F1029" w:rsidP="00B338DC"/>
    <w:sectPr w:rsidR="008F1029" w:rsidRPr="00B338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A7C"/>
    <w:rsid w:val="00053318"/>
    <w:rsid w:val="002D61DD"/>
    <w:rsid w:val="003F6696"/>
    <w:rsid w:val="005C1BFB"/>
    <w:rsid w:val="00611309"/>
    <w:rsid w:val="00874A7C"/>
    <w:rsid w:val="008F1029"/>
    <w:rsid w:val="00A737DA"/>
    <w:rsid w:val="00B338DC"/>
    <w:rsid w:val="00C52E5F"/>
    <w:rsid w:val="00CE0013"/>
    <w:rsid w:val="00D57BA6"/>
    <w:rsid w:val="00E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5FEA1B-E593-4114-87B9-CEA5DD9D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A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874A7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874A7C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874A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2</cp:revision>
  <dcterms:created xsi:type="dcterms:W3CDTF">2018-08-08T03:42:00Z</dcterms:created>
  <dcterms:modified xsi:type="dcterms:W3CDTF">2018-08-08T03:42:00Z</dcterms:modified>
</cp:coreProperties>
</file>